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83684" w14:textId="77777777" w:rsidR="009361D6" w:rsidRDefault="009361D6" w:rsidP="009361D6">
      <w:pPr>
        <w:pStyle w:val="EinfAbs"/>
        <w:rPr>
          <w:rFonts w:ascii="Acumin Pro Black" w:hAnsi="Acumin Pro Black" w:cs="Acumin Pro Black"/>
          <w:color w:val="009800"/>
          <w:sz w:val="80"/>
          <w:szCs w:val="80"/>
        </w:rPr>
      </w:pPr>
      <w:r>
        <w:rPr>
          <w:rFonts w:ascii="Acumin Pro Black" w:hAnsi="Acumin Pro Black" w:cs="Acumin Pro Black"/>
          <w:color w:val="009800"/>
          <w:sz w:val="80"/>
          <w:szCs w:val="80"/>
        </w:rPr>
        <w:t>Steirischer</w:t>
      </w:r>
    </w:p>
    <w:p w14:paraId="3568DB47" w14:textId="63A04DCD" w:rsidR="001823AD" w:rsidRDefault="009361D6" w:rsidP="009361D6">
      <w:pPr>
        <w:rPr>
          <w:rFonts w:ascii="Acumin Pro Black" w:hAnsi="Acumin Pro Black" w:cs="Acumin Pro Black"/>
          <w:color w:val="009800"/>
          <w:sz w:val="80"/>
          <w:szCs w:val="80"/>
        </w:rPr>
      </w:pPr>
      <w:r>
        <w:rPr>
          <w:rFonts w:ascii="Acumin Pro Black" w:hAnsi="Acumin Pro Black" w:cs="Acumin Pro Black"/>
          <w:color w:val="009800"/>
          <w:sz w:val="80"/>
          <w:szCs w:val="80"/>
        </w:rPr>
        <w:t>Wirtschaftsmotor</w:t>
      </w:r>
    </w:p>
    <w:p w14:paraId="0F6C07E4" w14:textId="77777777" w:rsidR="009361D6" w:rsidRDefault="009361D6" w:rsidP="009361D6">
      <w:pPr>
        <w:pStyle w:val="EinfAbs"/>
        <w:suppressAutoHyphens/>
        <w:rPr>
          <w:rFonts w:ascii="Acumin Pro Semibold" w:hAnsi="Acumin Pro Semibold" w:cs="Acumin Pro Semibold"/>
          <w:spacing w:val="-1"/>
        </w:rPr>
      </w:pPr>
      <w:r>
        <w:rPr>
          <w:rFonts w:ascii="Acumin Pro Semibold" w:hAnsi="Acumin Pro Semibold" w:cs="Acumin Pro Semibold"/>
          <w:spacing w:val="-1"/>
        </w:rPr>
        <w:t>Der Steirische Bauernbundball ist mit rund 16.000 Besucherinnen und Besuchern der größte Ball Europas und damit ein bedeutender Wirtschaftstreiber für regionale Betriebe weit über die Landeshauptstadt Graz hinaus.</w:t>
      </w:r>
    </w:p>
    <w:p w14:paraId="6959EEF0" w14:textId="77777777" w:rsidR="009361D6" w:rsidRDefault="009361D6" w:rsidP="009361D6"/>
    <w:p w14:paraId="77291F65" w14:textId="77777777" w:rsidR="009361D6" w:rsidRDefault="009361D6" w:rsidP="009361D6"/>
    <w:p w14:paraId="100105C3" w14:textId="77777777" w:rsidR="009361D6" w:rsidRDefault="009361D6" w:rsidP="009361D6">
      <w:pPr>
        <w:pStyle w:val="EinfAbs"/>
        <w:suppressAutoHyphens/>
        <w:rPr>
          <w:rFonts w:ascii="Acumin Pro Light" w:hAnsi="Acumin Pro Light" w:cs="Acumin Pro Light"/>
        </w:rPr>
      </w:pPr>
      <w:r>
        <w:rPr>
          <w:rFonts w:ascii="Acumin Pro Light" w:hAnsi="Acumin Pro Light" w:cs="Acumin Pro Light"/>
        </w:rPr>
        <w:t xml:space="preserve">Beim </w:t>
      </w:r>
      <w:r>
        <w:rPr>
          <w:rFonts w:ascii="Acumin Pro Semibold" w:hAnsi="Acumin Pro Semibold" w:cs="Acumin Pro Semibold"/>
        </w:rPr>
        <w:t>75. Steirischen Bauernbundball am 13. Februar 2026</w:t>
      </w:r>
      <w:r>
        <w:rPr>
          <w:rFonts w:ascii="Acumin Pro Light" w:hAnsi="Acumin Pro Light" w:cs="Acumin Pro Light"/>
        </w:rPr>
        <w:t xml:space="preserve"> zeigt sich einmal mehr, wie stark Kultur, Landwirtschaft und Wirtschaft miteinander verflochten sind.</w:t>
      </w:r>
    </w:p>
    <w:p w14:paraId="1246C5A3" w14:textId="77777777" w:rsidR="009361D6" w:rsidRDefault="009361D6" w:rsidP="009361D6">
      <w:pPr>
        <w:pStyle w:val="EinfAbs"/>
        <w:suppressAutoHyphens/>
        <w:rPr>
          <w:rFonts w:ascii="Acumin Pro Light" w:hAnsi="Acumin Pro Light" w:cs="Acumin Pro Light"/>
        </w:rPr>
      </w:pPr>
      <w:r>
        <w:rPr>
          <w:rFonts w:ascii="Acumin Pro Light" w:hAnsi="Acumin Pro Light" w:cs="Acumin Pro Light"/>
        </w:rPr>
        <w:t xml:space="preserve">Mit seiner Vielseitigkeit entfaltet der Ball eine enorme wirtschaftliche Wirkung. Der </w:t>
      </w:r>
      <w:r>
        <w:rPr>
          <w:rFonts w:ascii="Acumin Pro Semibold" w:hAnsi="Acumin Pro Semibold" w:cs="Acumin Pro Semibold"/>
        </w:rPr>
        <w:t>Gesamtumsatz samt Umwegrentabilität von rund 6,4 Millionen Euro</w:t>
      </w:r>
      <w:r>
        <w:rPr>
          <w:rFonts w:ascii="Acumin Pro Light" w:hAnsi="Acumin Pro Light" w:cs="Acumin Pro Light"/>
        </w:rPr>
        <w:t xml:space="preserve"> kommt einer Vielzahl von Branchen zugute, von denen viele bereits seit Jahren als verlässliche Partner am größten Ball Europas beteiligt sind. Landwirtschaft, Wirtschaft und Tourismus profitieren dabei gleichermaßen voneinander.</w:t>
      </w:r>
    </w:p>
    <w:p w14:paraId="4018AFBE" w14:textId="77777777" w:rsidR="009361D6" w:rsidRDefault="009361D6" w:rsidP="009361D6">
      <w:pPr>
        <w:pStyle w:val="EinfAbs"/>
        <w:suppressAutoHyphens/>
        <w:rPr>
          <w:rFonts w:ascii="Acumin Pro Light" w:hAnsi="Acumin Pro Light" w:cs="Acumin Pro Light"/>
        </w:rPr>
      </w:pPr>
      <w:r>
        <w:rPr>
          <w:rFonts w:ascii="Acumin Pro Light" w:hAnsi="Acumin Pro Light" w:cs="Acumin Pro Light"/>
        </w:rPr>
        <w:t>Der Veranstalter zeigt sich stolz auf die starke Partnerschaft mit steirischen Betrieben. Mit großer Leidenschaft und Engagement tragen sie dazu bei, ein Event dieser Dimension möglich zu machen. Auch für die Gäste gehört der Bauernbundball fix zum Jahreskalender: Zum Ballgehen zählen Lifestyle, Begegnung und natürlich Tracht. „Fesch und resch im Steirerdress“ beschreibt den Abend wohl am besten – sehr zur Freude der Mode- und Trachtenbranche.</w:t>
      </w:r>
    </w:p>
    <w:p w14:paraId="0E1AE857" w14:textId="77777777" w:rsidR="009361D6" w:rsidRDefault="009361D6" w:rsidP="009361D6">
      <w:pPr>
        <w:pStyle w:val="EinfAbs"/>
        <w:suppressAutoHyphens/>
        <w:rPr>
          <w:rFonts w:ascii="Acumin Pro Light" w:hAnsi="Acumin Pro Light" w:cs="Acumin Pro Light"/>
        </w:rPr>
      </w:pPr>
      <w:r>
        <w:rPr>
          <w:rFonts w:ascii="Acumin Pro Light" w:hAnsi="Acumin Pro Light" w:cs="Acumin Pro Light"/>
        </w:rPr>
        <w:t>Darüber hinaus profitieren Gastronomie, Hotellerie, Taxiunternehmen, Tanzschulen, Technikfirmen, Musikgruppen und viele weitere Dienstleister vom Ball der Bälle.</w:t>
      </w:r>
    </w:p>
    <w:p w14:paraId="2B49EED7" w14:textId="77777777" w:rsidR="009361D6" w:rsidRDefault="009361D6" w:rsidP="009361D6"/>
    <w:p w14:paraId="419E8340" w14:textId="77777777" w:rsidR="009361D6" w:rsidRDefault="009361D6" w:rsidP="009361D6">
      <w:pPr>
        <w:pStyle w:val="EinfAbs"/>
        <w:suppressAutoHyphens/>
        <w:rPr>
          <w:rFonts w:ascii="Acumin Pro Light" w:hAnsi="Acumin Pro Light" w:cs="Acumin Pro Light"/>
          <w:color w:val="009800"/>
        </w:rPr>
      </w:pPr>
      <w:r>
        <w:rPr>
          <w:rFonts w:ascii="Acumin Pro Black" w:hAnsi="Acumin Pro Black" w:cs="Acumin Pro Black"/>
          <w:color w:val="009800"/>
        </w:rPr>
        <w:t>Zahlen zur Logistik:</w:t>
      </w:r>
    </w:p>
    <w:p w14:paraId="791DF92D" w14:textId="1637F153" w:rsidR="009361D6" w:rsidRDefault="009361D6" w:rsidP="009361D6">
      <w:pPr>
        <w:pStyle w:val="EinfAbs"/>
        <w:suppressAutoHyphens/>
        <w:rPr>
          <w:rFonts w:ascii="Acumin Pro Light" w:hAnsi="Acumin Pro Light" w:cs="Acumin Pro Light"/>
        </w:rPr>
      </w:pPr>
      <w:r>
        <w:rPr>
          <w:rFonts w:ascii="Acumin Pro Light" w:hAnsi="Acumin Pro Light" w:cs="Acumin Pro Light"/>
        </w:rPr>
        <w:t>• 8 Bühnen</w:t>
      </w:r>
    </w:p>
    <w:p w14:paraId="0DED25C4" w14:textId="7B31CAC7" w:rsidR="009361D6" w:rsidRDefault="009361D6" w:rsidP="009361D6">
      <w:pPr>
        <w:pStyle w:val="EinfAbs"/>
        <w:suppressAutoHyphens/>
        <w:rPr>
          <w:rFonts w:ascii="Acumin Pro Light" w:hAnsi="Acumin Pro Light" w:cs="Acumin Pro Light"/>
        </w:rPr>
      </w:pPr>
      <w:r>
        <w:rPr>
          <w:rFonts w:ascii="Acumin Pro Light" w:hAnsi="Acumin Pro Light" w:cs="Acumin Pro Light"/>
        </w:rPr>
        <w:t xml:space="preserve">• 32 Musikinterpreten </w:t>
      </w:r>
    </w:p>
    <w:p w14:paraId="5DCE91C4" w14:textId="0415B064" w:rsidR="009361D6" w:rsidRDefault="009361D6" w:rsidP="009361D6">
      <w:pPr>
        <w:pStyle w:val="EinfAbs"/>
        <w:suppressAutoHyphens/>
        <w:rPr>
          <w:rFonts w:ascii="Acumin Pro Light" w:hAnsi="Acumin Pro Light" w:cs="Acumin Pro Light"/>
        </w:rPr>
      </w:pPr>
      <w:r>
        <w:rPr>
          <w:rFonts w:ascii="Acumin Pro Light" w:hAnsi="Acumin Pro Light" w:cs="Acumin Pro Light"/>
        </w:rPr>
        <w:t xml:space="preserve">• 4 Hektar Ballareal (40.000 Quadratmeter) </w:t>
      </w:r>
    </w:p>
    <w:p w14:paraId="58BAE391" w14:textId="4F1C9B88" w:rsidR="009361D6" w:rsidRDefault="009361D6" w:rsidP="009361D6">
      <w:pPr>
        <w:pStyle w:val="EinfAbs"/>
        <w:suppressAutoHyphens/>
        <w:rPr>
          <w:rFonts w:ascii="Acumin Pro Light" w:hAnsi="Acumin Pro Light" w:cs="Acumin Pro Light"/>
        </w:rPr>
      </w:pPr>
      <w:r>
        <w:rPr>
          <w:rFonts w:ascii="Acumin Pro Light" w:hAnsi="Acumin Pro Light" w:cs="Acumin Pro Light"/>
        </w:rPr>
        <w:t>• 1200 Akteure und Helferinnen und Helfer</w:t>
      </w:r>
    </w:p>
    <w:p w14:paraId="14B929F0" w14:textId="484D87D9" w:rsidR="009361D6" w:rsidRDefault="009361D6" w:rsidP="009361D6">
      <w:pPr>
        <w:pStyle w:val="EinfAbs"/>
        <w:suppressAutoHyphens/>
        <w:rPr>
          <w:rFonts w:ascii="Acumin Pro Light" w:hAnsi="Acumin Pro Light" w:cs="Acumin Pro Light"/>
        </w:rPr>
      </w:pPr>
      <w:r>
        <w:rPr>
          <w:rFonts w:ascii="Acumin Pro Light" w:hAnsi="Acumin Pro Light" w:cs="Acumin Pro Light"/>
        </w:rPr>
        <w:t>• 3.500 heimische Bäume als Dekoration</w:t>
      </w:r>
    </w:p>
    <w:p w14:paraId="1E8AA41F" w14:textId="61616F10" w:rsidR="009361D6" w:rsidRDefault="009361D6" w:rsidP="009361D6">
      <w:pPr>
        <w:pStyle w:val="EinfAbs"/>
        <w:suppressAutoHyphens/>
        <w:rPr>
          <w:rFonts w:ascii="Acumin Pro Light" w:hAnsi="Acumin Pro Light" w:cs="Acumin Pro Light"/>
        </w:rPr>
      </w:pPr>
      <w:r>
        <w:rPr>
          <w:rFonts w:ascii="Acumin Pro Light" w:hAnsi="Acumin Pro Light" w:cs="Acumin Pro Light"/>
        </w:rPr>
        <w:t xml:space="preserve">• 75.000 Gläser </w:t>
      </w:r>
    </w:p>
    <w:p w14:paraId="47C6FB20" w14:textId="71EEB3D8" w:rsidR="009361D6" w:rsidRDefault="009361D6" w:rsidP="009361D6">
      <w:pPr>
        <w:pStyle w:val="EinfAbs"/>
        <w:suppressAutoHyphens/>
        <w:rPr>
          <w:rFonts w:ascii="Acumin Pro Light" w:hAnsi="Acumin Pro Light" w:cs="Acumin Pro Light"/>
        </w:rPr>
      </w:pPr>
      <w:r>
        <w:rPr>
          <w:rFonts w:ascii="Acumin Pro Light" w:hAnsi="Acumin Pro Light" w:cs="Acumin Pro Light"/>
        </w:rPr>
        <w:t>• 20.000 Teller</w:t>
      </w:r>
    </w:p>
    <w:p w14:paraId="379CC781" w14:textId="6D76490C" w:rsidR="009361D6" w:rsidRDefault="009361D6" w:rsidP="009361D6">
      <w:pPr>
        <w:pStyle w:val="EinfAbs"/>
        <w:suppressAutoHyphens/>
        <w:rPr>
          <w:rFonts w:ascii="Acumin Pro Light" w:hAnsi="Acumin Pro Light" w:cs="Acumin Pro Light"/>
        </w:rPr>
      </w:pPr>
      <w:r>
        <w:rPr>
          <w:rFonts w:ascii="Acumin Pro Light" w:hAnsi="Acumin Pro Light" w:cs="Acumin Pro Light"/>
        </w:rPr>
        <w:t>• 7 Sattelschlepper Licht- und Tontechnik</w:t>
      </w:r>
    </w:p>
    <w:p w14:paraId="149E6147" w14:textId="6DDD3AA2" w:rsidR="009361D6" w:rsidRDefault="009361D6" w:rsidP="009361D6">
      <w:pPr>
        <w:pStyle w:val="EinfAbs"/>
        <w:suppressAutoHyphens/>
        <w:rPr>
          <w:rFonts w:ascii="Acumin Pro Light" w:hAnsi="Acumin Pro Light" w:cs="Acumin Pro Light"/>
        </w:rPr>
      </w:pPr>
      <w:r>
        <w:rPr>
          <w:rFonts w:ascii="Acumin Pro Light" w:hAnsi="Acumin Pro Light" w:cs="Acumin Pro Light"/>
        </w:rPr>
        <w:t>• 3.500 Scheinwerfer</w:t>
      </w:r>
    </w:p>
    <w:p w14:paraId="1B06AA3A" w14:textId="5B1F3AA2" w:rsidR="009361D6" w:rsidRDefault="009361D6" w:rsidP="009361D6">
      <w:pPr>
        <w:pStyle w:val="EinfAbs"/>
        <w:suppressAutoHyphens/>
        <w:rPr>
          <w:rFonts w:ascii="Acumin Pro Light" w:hAnsi="Acumin Pro Light" w:cs="Acumin Pro Light"/>
        </w:rPr>
      </w:pPr>
      <w:r>
        <w:rPr>
          <w:rFonts w:ascii="Acumin Pro Light" w:hAnsi="Acumin Pro Light" w:cs="Acumin Pro Light"/>
        </w:rPr>
        <w:t>• 90 Kilometer Kabel</w:t>
      </w:r>
    </w:p>
    <w:p w14:paraId="69BD26D8" w14:textId="58193456" w:rsidR="009361D6" w:rsidRDefault="009361D6" w:rsidP="009361D6">
      <w:pPr>
        <w:pStyle w:val="EinfAbs"/>
        <w:suppressAutoHyphens/>
        <w:rPr>
          <w:rFonts w:ascii="Acumin Pro Light" w:hAnsi="Acumin Pro Light" w:cs="Acumin Pro Light"/>
        </w:rPr>
      </w:pPr>
      <w:r>
        <w:rPr>
          <w:rFonts w:ascii="Acumin Pro Light" w:hAnsi="Acumin Pro Light" w:cs="Acumin Pro Light"/>
        </w:rPr>
        <w:t>• 4.000 Quadratmeter Holz</w:t>
      </w:r>
    </w:p>
    <w:p w14:paraId="18881A04" w14:textId="77777777" w:rsidR="009361D6" w:rsidRDefault="009361D6" w:rsidP="009361D6">
      <w:pPr>
        <w:pStyle w:val="EinfAbs"/>
        <w:suppressAutoHyphens/>
        <w:rPr>
          <w:rFonts w:ascii="Acumin Pro Light" w:hAnsi="Acumin Pro Light" w:cs="Acumin Pro Light"/>
        </w:rPr>
      </w:pPr>
    </w:p>
    <w:p w14:paraId="35364EEE" w14:textId="77777777" w:rsidR="009361D6" w:rsidRDefault="009361D6" w:rsidP="009361D6">
      <w:pPr>
        <w:pStyle w:val="EinfAbs"/>
        <w:suppressAutoHyphens/>
        <w:rPr>
          <w:rFonts w:ascii="Acumin Pro Light" w:hAnsi="Acumin Pro Light" w:cs="Acumin Pro Light"/>
        </w:rPr>
      </w:pPr>
    </w:p>
    <w:p w14:paraId="3F2DBD4B" w14:textId="77777777" w:rsidR="009361D6" w:rsidRDefault="009361D6" w:rsidP="009361D6">
      <w:pPr>
        <w:pStyle w:val="EinfAbs"/>
        <w:suppressAutoHyphens/>
        <w:rPr>
          <w:rFonts w:ascii="Acumin Pro Light" w:hAnsi="Acumin Pro Light" w:cs="Acumin Pro Light"/>
        </w:rPr>
      </w:pPr>
    </w:p>
    <w:p w14:paraId="385AD45C" w14:textId="77777777" w:rsidR="009361D6" w:rsidRDefault="009361D6" w:rsidP="009361D6">
      <w:pPr>
        <w:pStyle w:val="EinfAbs"/>
        <w:suppressAutoHyphens/>
        <w:rPr>
          <w:rFonts w:ascii="Acumin Pro Light" w:hAnsi="Acumin Pro Light" w:cs="Acumin Pro Light"/>
          <w:color w:val="009800"/>
        </w:rPr>
      </w:pPr>
      <w:r>
        <w:rPr>
          <w:rFonts w:ascii="Acumin Pro Black" w:hAnsi="Acumin Pro Black" w:cs="Acumin Pro Black"/>
          <w:color w:val="009800"/>
        </w:rPr>
        <w:t>Ökonomische Zahlen:</w:t>
      </w:r>
    </w:p>
    <w:p w14:paraId="0F919D26" w14:textId="77777777" w:rsidR="009361D6" w:rsidRDefault="009361D6" w:rsidP="009361D6">
      <w:pPr>
        <w:pStyle w:val="EinfAbs"/>
        <w:suppressAutoHyphens/>
        <w:rPr>
          <w:rFonts w:ascii="Acumin Pro" w:hAnsi="Acumin Pro" w:cs="Acumin Pro"/>
          <w:b/>
          <w:bCs/>
        </w:rPr>
      </w:pPr>
      <w:r>
        <w:rPr>
          <w:rFonts w:ascii="Acumin Pro" w:hAnsi="Acumin Pro" w:cs="Acumin Pro"/>
          <w:b/>
          <w:bCs/>
        </w:rPr>
        <w:t xml:space="preserve">6,4 Millionen Euro total ausgelöste Umsätze </w:t>
      </w:r>
    </w:p>
    <w:p w14:paraId="60467878" w14:textId="59F9BF20" w:rsidR="009361D6" w:rsidRDefault="009361D6" w:rsidP="009361D6">
      <w:pPr>
        <w:pStyle w:val="EinfAbs"/>
        <w:suppressAutoHyphens/>
        <w:rPr>
          <w:rFonts w:ascii="Acumin Pro Light" w:hAnsi="Acumin Pro Light" w:cs="Acumin Pro Light"/>
        </w:rPr>
      </w:pPr>
      <w:r>
        <w:rPr>
          <w:rFonts w:ascii="Acumin Pro Light" w:hAnsi="Acumin Pro Light" w:cs="Acumin Pro Light"/>
        </w:rPr>
        <w:t>• 1,9 Millionen Euro Trachten, Schuhe, Schmuck</w:t>
      </w:r>
    </w:p>
    <w:p w14:paraId="0A88803E" w14:textId="5D262071" w:rsidR="009361D6" w:rsidRDefault="009361D6" w:rsidP="009361D6">
      <w:pPr>
        <w:pStyle w:val="EinfAbs"/>
        <w:suppressAutoHyphens/>
        <w:rPr>
          <w:rFonts w:ascii="Acumin Pro Light" w:hAnsi="Acumin Pro Light" w:cs="Acumin Pro Light"/>
        </w:rPr>
      </w:pPr>
      <w:r>
        <w:rPr>
          <w:rFonts w:ascii="Acumin Pro Light" w:hAnsi="Acumin Pro Light" w:cs="Acumin Pro Light"/>
        </w:rPr>
        <w:t>• 815.000 Euro Frisör, Taxi, Abendessen</w:t>
      </w:r>
    </w:p>
    <w:p w14:paraId="31AC8C89" w14:textId="1AB76585" w:rsidR="009361D6" w:rsidRDefault="009361D6" w:rsidP="009361D6">
      <w:pPr>
        <w:pStyle w:val="EinfAbs"/>
        <w:suppressAutoHyphens/>
        <w:rPr>
          <w:rFonts w:ascii="Acumin Pro Light" w:hAnsi="Acumin Pro Light" w:cs="Acumin Pro Light"/>
        </w:rPr>
      </w:pPr>
      <w:r>
        <w:rPr>
          <w:rFonts w:ascii="Acumin Pro Light" w:hAnsi="Acumin Pro Light" w:cs="Acumin Pro Light"/>
        </w:rPr>
        <w:t xml:space="preserve">• 3000 zusätzlich ausgelöste Nächtigungen </w:t>
      </w:r>
    </w:p>
    <w:p w14:paraId="72FF0225" w14:textId="08BE6A53" w:rsidR="009361D6" w:rsidRDefault="009361D6" w:rsidP="009361D6">
      <w:r>
        <w:rPr>
          <w:rFonts w:ascii="Acumin Pro Light" w:hAnsi="Acumin Pro Light" w:cs="Acumin Pro Light"/>
        </w:rPr>
        <w:t>• 540.000 Euro Gesamtsteuerabgaben</w:t>
      </w:r>
    </w:p>
    <w:p w14:paraId="39D2AF2E" w14:textId="77777777" w:rsidR="009361D6" w:rsidRDefault="009361D6" w:rsidP="009361D6"/>
    <w:p w14:paraId="689B9E70" w14:textId="77777777" w:rsidR="009361D6" w:rsidRDefault="009361D6" w:rsidP="009361D6"/>
    <w:p w14:paraId="53F42977" w14:textId="77777777" w:rsidR="009361D6" w:rsidRDefault="009361D6" w:rsidP="009361D6">
      <w:pPr>
        <w:pStyle w:val="EinfAbs"/>
        <w:suppressAutoHyphens/>
        <w:rPr>
          <w:rFonts w:ascii="Acumin Pro Light" w:hAnsi="Acumin Pro Light" w:cs="Acumin Pro Light"/>
          <w:spacing w:val="-1"/>
          <w:sz w:val="20"/>
          <w:szCs w:val="20"/>
        </w:rPr>
      </w:pPr>
      <w:r>
        <w:rPr>
          <w:rFonts w:ascii="Acumin Pro Light" w:hAnsi="Acumin Pro Light" w:cs="Acumin Pro Light"/>
          <w:spacing w:val="-1"/>
          <w:sz w:val="20"/>
          <w:szCs w:val="20"/>
        </w:rPr>
        <w:t xml:space="preserve">„Wenn Stadt und Land aufeinandertreffen, profitieren nicht nur die Menschen voneinander, sondern auch die heimische Wirtschaft. Es freut mich sehr, welch wichtiger Wirtschaftsfaktor unser Ball für die Bäuerinnen und Bauern, die Regionen, Graz und die gesamte Steiermark ist.“ </w:t>
      </w:r>
    </w:p>
    <w:p w14:paraId="6415CF43" w14:textId="77777777" w:rsidR="009361D6" w:rsidRDefault="009361D6" w:rsidP="009361D6">
      <w:pPr>
        <w:pStyle w:val="EinfAbs"/>
        <w:rPr>
          <w:rFonts w:ascii="Acumin Pro" w:hAnsi="Acumin Pro" w:cs="Acumin Pro"/>
          <w:b/>
          <w:bCs/>
          <w:sz w:val="20"/>
          <w:szCs w:val="20"/>
        </w:rPr>
      </w:pPr>
      <w:r>
        <w:rPr>
          <w:rFonts w:ascii="Acumin Pro" w:hAnsi="Acumin Pro" w:cs="Acumin Pro"/>
          <w:b/>
          <w:bCs/>
          <w:sz w:val="20"/>
          <w:szCs w:val="20"/>
        </w:rPr>
        <w:t xml:space="preserve">DI Bernd </w:t>
      </w:r>
      <w:proofErr w:type="spellStart"/>
      <w:r>
        <w:rPr>
          <w:rFonts w:ascii="Acumin Pro" w:hAnsi="Acumin Pro" w:cs="Acumin Pro"/>
          <w:b/>
          <w:bCs/>
          <w:sz w:val="20"/>
          <w:szCs w:val="20"/>
        </w:rPr>
        <w:t>Brodtrager</w:t>
      </w:r>
      <w:proofErr w:type="spellEnd"/>
    </w:p>
    <w:p w14:paraId="33BD2B1C" w14:textId="77777777" w:rsidR="009361D6" w:rsidRDefault="009361D6" w:rsidP="009361D6">
      <w:pPr>
        <w:pStyle w:val="EinfAbs"/>
        <w:rPr>
          <w:rFonts w:ascii="Acumin Pro" w:hAnsi="Acumin Pro" w:cs="Acumin Pro"/>
          <w:b/>
          <w:bCs/>
          <w:sz w:val="16"/>
          <w:szCs w:val="16"/>
        </w:rPr>
      </w:pPr>
      <w:r>
        <w:rPr>
          <w:rFonts w:ascii="Acumin Pro" w:hAnsi="Acumin Pro" w:cs="Acumin Pro"/>
          <w:b/>
          <w:bCs/>
          <w:sz w:val="16"/>
          <w:szCs w:val="16"/>
        </w:rPr>
        <w:t>Direktor</w:t>
      </w:r>
    </w:p>
    <w:p w14:paraId="46694AD0" w14:textId="7B2BAEFB" w:rsidR="009361D6" w:rsidRDefault="009361D6" w:rsidP="009361D6">
      <w:r>
        <w:rPr>
          <w:rFonts w:ascii="Acumin Pro" w:hAnsi="Acumin Pro" w:cs="Acumin Pro"/>
          <w:b/>
          <w:bCs/>
          <w:sz w:val="16"/>
          <w:szCs w:val="16"/>
        </w:rPr>
        <w:t>Steirischer Bauernbund</w:t>
      </w:r>
    </w:p>
    <w:sectPr w:rsidR="009361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Acumin Pro Black">
    <w:panose1 w:val="020B0904020202020204"/>
    <w:charset w:val="4D"/>
    <w:family w:val="swiss"/>
    <w:notTrueType/>
    <w:pitch w:val="variable"/>
    <w:sig w:usb0="20000007" w:usb1="00000001" w:usb2="00000000" w:usb3="00000000" w:csb0="00000193" w:csb1="00000000"/>
  </w:font>
  <w:font w:name="Acumin Pro Semibold">
    <w:panose1 w:val="020B0704020202020204"/>
    <w:charset w:val="4D"/>
    <w:family w:val="swiss"/>
    <w:notTrueType/>
    <w:pitch w:val="variable"/>
    <w:sig w:usb0="20000007" w:usb1="00000001" w:usb2="00000000" w:usb3="00000000" w:csb0="00000193" w:csb1="00000000"/>
  </w:font>
  <w:font w:name="Acumin Pro Light">
    <w:panose1 w:val="020B0404020202020204"/>
    <w:charset w:val="4D"/>
    <w:family w:val="swiss"/>
    <w:notTrueType/>
    <w:pitch w:val="variable"/>
    <w:sig w:usb0="20000007" w:usb1="00000001" w:usb2="00000000" w:usb3="00000000" w:csb0="00000193" w:csb1="00000000"/>
  </w:font>
  <w:font w:name="Acumin Pro">
    <w:panose1 w:val="020B0504020202020204"/>
    <w:charset w:val="4D"/>
    <w:family w:val="swiss"/>
    <w:notTrueType/>
    <w:pitch w:val="variable"/>
    <w:sig w:usb0="20000007" w:usb1="00000001" w:usb2="00000000" w:usb3="00000000" w:csb0="000001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1D6"/>
    <w:rsid w:val="00001FE0"/>
    <w:rsid w:val="001823AD"/>
    <w:rsid w:val="0046696B"/>
    <w:rsid w:val="00824485"/>
    <w:rsid w:val="009361D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3ADB000"/>
  <w15:chartTrackingRefBased/>
  <w15:docId w15:val="{0A658BA9-2293-D547-9BE0-94945050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61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361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361D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361D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361D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361D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361D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361D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361D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61D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361D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361D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361D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361D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361D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361D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361D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361D6"/>
    <w:rPr>
      <w:rFonts w:eastAsiaTheme="majorEastAsia" w:cstheme="majorBidi"/>
      <w:color w:val="272727" w:themeColor="text1" w:themeTint="D8"/>
    </w:rPr>
  </w:style>
  <w:style w:type="paragraph" w:styleId="Titel">
    <w:name w:val="Title"/>
    <w:basedOn w:val="Standard"/>
    <w:next w:val="Standard"/>
    <w:link w:val="TitelZchn"/>
    <w:uiPriority w:val="10"/>
    <w:qFormat/>
    <w:rsid w:val="009361D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361D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361D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361D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361D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361D6"/>
    <w:rPr>
      <w:i/>
      <w:iCs/>
      <w:color w:val="404040" w:themeColor="text1" w:themeTint="BF"/>
    </w:rPr>
  </w:style>
  <w:style w:type="paragraph" w:styleId="Listenabsatz">
    <w:name w:val="List Paragraph"/>
    <w:basedOn w:val="Standard"/>
    <w:uiPriority w:val="34"/>
    <w:qFormat/>
    <w:rsid w:val="009361D6"/>
    <w:pPr>
      <w:ind w:left="720"/>
      <w:contextualSpacing/>
    </w:pPr>
  </w:style>
  <w:style w:type="character" w:styleId="IntensiveHervorhebung">
    <w:name w:val="Intense Emphasis"/>
    <w:basedOn w:val="Absatz-Standardschriftart"/>
    <w:uiPriority w:val="21"/>
    <w:qFormat/>
    <w:rsid w:val="009361D6"/>
    <w:rPr>
      <w:i/>
      <w:iCs/>
      <w:color w:val="0F4761" w:themeColor="accent1" w:themeShade="BF"/>
    </w:rPr>
  </w:style>
  <w:style w:type="paragraph" w:styleId="IntensivesZitat">
    <w:name w:val="Intense Quote"/>
    <w:basedOn w:val="Standard"/>
    <w:next w:val="Standard"/>
    <w:link w:val="IntensivesZitatZchn"/>
    <w:uiPriority w:val="30"/>
    <w:qFormat/>
    <w:rsid w:val="009361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361D6"/>
    <w:rPr>
      <w:i/>
      <w:iCs/>
      <w:color w:val="0F4761" w:themeColor="accent1" w:themeShade="BF"/>
    </w:rPr>
  </w:style>
  <w:style w:type="character" w:styleId="IntensiverVerweis">
    <w:name w:val="Intense Reference"/>
    <w:basedOn w:val="Absatz-Standardschriftart"/>
    <w:uiPriority w:val="32"/>
    <w:qFormat/>
    <w:rsid w:val="009361D6"/>
    <w:rPr>
      <w:b/>
      <w:bCs/>
      <w:smallCaps/>
      <w:color w:val="0F4761" w:themeColor="accent1" w:themeShade="BF"/>
      <w:spacing w:val="5"/>
    </w:rPr>
  </w:style>
  <w:style w:type="paragraph" w:customStyle="1" w:styleId="EinfAbs">
    <w:name w:val="[Einf. Abs.]"/>
    <w:basedOn w:val="Standard"/>
    <w:uiPriority w:val="99"/>
    <w:rsid w:val="009361D6"/>
    <w:pPr>
      <w:autoSpaceDE w:val="0"/>
      <w:autoSpaceDN w:val="0"/>
      <w:adjustRightInd w:val="0"/>
      <w:spacing w:line="288" w:lineRule="auto"/>
      <w:textAlignment w:val="center"/>
    </w:pPr>
    <w:rPr>
      <w:rFonts w:ascii="Minion Pro" w:hAnsi="Minion Pro" w:cs="Minion Pro"/>
      <w:color w:val="000000"/>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1968</Characters>
  <Application>Microsoft Office Word</Application>
  <DocSecurity>0</DocSecurity>
  <Lines>16</Lines>
  <Paragraphs>4</Paragraphs>
  <ScaleCrop>false</ScaleCrop>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Soritz</dc:creator>
  <cp:keywords/>
  <dc:description/>
  <cp:lastModifiedBy>Siegfried Soritz</cp:lastModifiedBy>
  <cp:revision>1</cp:revision>
  <dcterms:created xsi:type="dcterms:W3CDTF">2026-01-06T15:05:00Z</dcterms:created>
  <dcterms:modified xsi:type="dcterms:W3CDTF">2026-01-06T15:06:00Z</dcterms:modified>
</cp:coreProperties>
</file>